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C5B66" w14:textId="0D2160A2" w:rsidR="0068625A" w:rsidRPr="00E15B53" w:rsidRDefault="0068625A" w:rsidP="0068625A">
      <w:pPr>
        <w:pStyle w:val="Ttulo1"/>
        <w:ind w:right="545"/>
        <w:rPr>
          <w:color w:val="2E74B5" w:themeColor="accent5" w:themeShade="BF"/>
        </w:rPr>
      </w:pPr>
      <w:r>
        <w:rPr>
          <w:color w:val="2E74B5" w:themeColor="accent5" w:themeShade="BF"/>
        </w:rPr>
        <w:t>Tema 2 del orden del día.  Informe preliminar del taller de creación de capacidades del GAC</w:t>
      </w:r>
    </w:p>
    <w:p w14:paraId="36C83FE6" w14:textId="6E5807AE" w:rsidR="0068625A" w:rsidRPr="00A326CA" w:rsidRDefault="00A326CA" w:rsidP="0068625A">
      <w:pPr>
        <w:pStyle w:val="Ttulo2"/>
        <w:rPr>
          <w:b w:val="0"/>
          <w:color w:val="000000" w:themeColor="text1"/>
          <w:sz w:val="20"/>
          <w:szCs w:val="20"/>
        </w:rPr>
      </w:pPr>
      <w:r>
        <w:rPr>
          <w:sz w:val="20"/>
          <w:szCs w:val="20"/>
        </w:rPr>
        <w:t xml:space="preserve">Nota: </w:t>
      </w:r>
      <w:r>
        <w:rPr>
          <w:b w:val="0"/>
          <w:color w:val="000000" w:themeColor="text1"/>
          <w:sz w:val="20"/>
          <w:szCs w:val="20"/>
        </w:rPr>
        <w:t>el presente documento informativo ha sido elaborado por el personal de apoyo de la ICANN.</w:t>
      </w:r>
    </w:p>
    <w:p w14:paraId="422B9CFD" w14:textId="77777777" w:rsidR="00A326CA" w:rsidRPr="00F1480A" w:rsidRDefault="00A326CA" w:rsidP="00A326CA">
      <w:pPr>
        <w:pStyle w:val="Textoindependiente"/>
        <w:rPr>
          <w:lang w:val="es-AR"/>
        </w:rPr>
      </w:pPr>
    </w:p>
    <w:p w14:paraId="0AEB44A1" w14:textId="31A23497" w:rsidR="0068625A" w:rsidRPr="00EA4C85" w:rsidRDefault="0068625A" w:rsidP="0068625A">
      <w:pPr>
        <w:pStyle w:val="Ttulo2"/>
      </w:pPr>
      <w:r>
        <w:t>Información de referencia:</w:t>
      </w:r>
    </w:p>
    <w:p w14:paraId="57D809F4" w14:textId="0D445F46" w:rsidR="0068625A" w:rsidRPr="00A326CA" w:rsidRDefault="0068625A" w:rsidP="0068625A">
      <w:pPr>
        <w:pStyle w:val="NormalWeb"/>
        <w:spacing w:before="0" w:beforeAutospacing="0" w:after="0" w:afterAutospacing="0"/>
        <w:rPr>
          <w:rFonts w:ascii="Century Gothic" w:hAnsi="Century Gothic"/>
          <w:sz w:val="20"/>
          <w:szCs w:val="20"/>
        </w:rPr>
      </w:pPr>
      <w:r>
        <w:tab/>
      </w:r>
      <w:r>
        <w:br/>
      </w:r>
      <w:r>
        <w:rPr>
          <w:rFonts w:ascii="Century Gothic" w:hAnsi="Century Gothic"/>
          <w:color w:val="000000"/>
          <w:sz w:val="20"/>
          <w:szCs w:val="20"/>
        </w:rPr>
        <w:t>La iniciativa del taller de creación de capacidades del GAC fue presentada en ICANN56 en Helsinki. La intención de dicho proyecto fue brindar apoyo a los representantes del GAC para comprender mejor el modelo de comunidad empoderada de la ICANN, el rol del GAC dentro de la ICANN (en particular, la participación del GAC en los Procesos de Desarrollo de Políticas de la ICANN, y los procedimientos y la membresía del GAC. Además, se centraría en aspectos técnicos (parámetros de protocolo, seguridad, estabilidad y flexibilidad de los identificadores únicos de Internet) o temas específicos en materia de política pública (códigos de país y gobiernos, ciberseguridad, protección al consumidor y más recientemente en el Reglamento General sobre la Protección de Datos (GDPR)) que posiblemente no todos los conozcan en detalle.</w:t>
      </w:r>
    </w:p>
    <w:p w14:paraId="1602CD74" w14:textId="77777777" w:rsidR="0068625A" w:rsidRPr="00A326CA" w:rsidRDefault="0068625A" w:rsidP="0068625A">
      <w:pPr>
        <w:rPr>
          <w:rFonts w:ascii="Century Gothic" w:hAnsi="Century Gothic"/>
          <w:sz w:val="20"/>
          <w:szCs w:val="20"/>
        </w:rPr>
      </w:pPr>
    </w:p>
    <w:p w14:paraId="04909FA1"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 xml:space="preserve">Junto con los copresidentes y miembros del Grupo de Trabajo del GAC para Regiones Subatendidas, los equipos de Participación Gubernamental y Participación Global de Partes Interesadas organizaron varios talleres regionales a lo largo de los años fiscales 2017 y 2018 (FY17 y FY18).  Más abajo puede consultar una tabla con todos los talleres </w:t>
      </w:r>
      <w:proofErr w:type="gramStart"/>
      <w:r>
        <w:rPr>
          <w:rFonts w:ascii="Century Gothic" w:hAnsi="Century Gothic"/>
          <w:color w:val="000000"/>
          <w:sz w:val="20"/>
          <w:szCs w:val="20"/>
        </w:rPr>
        <w:t>realizados</w:t>
      </w:r>
      <w:proofErr w:type="gramEnd"/>
      <w:r>
        <w:rPr>
          <w:rFonts w:ascii="Century Gothic" w:hAnsi="Century Gothic"/>
          <w:color w:val="000000"/>
          <w:sz w:val="20"/>
          <w:szCs w:val="20"/>
        </w:rPr>
        <w:t xml:space="preserve"> hasta el momento.</w:t>
      </w:r>
    </w:p>
    <w:p w14:paraId="3B4897B7" w14:textId="77777777" w:rsidR="0068625A" w:rsidRPr="00A326CA" w:rsidRDefault="0068625A" w:rsidP="0068625A">
      <w:pPr>
        <w:spacing w:after="240"/>
        <w:rPr>
          <w:rFonts w:ascii="Century Gothic" w:hAnsi="Century Gothic"/>
          <w:sz w:val="20"/>
          <w:szCs w:val="20"/>
        </w:rPr>
      </w:pPr>
    </w:p>
    <w:p w14:paraId="6AF1121B" w14:textId="000038EA" w:rsidR="0068625A" w:rsidRPr="00A326CA" w:rsidRDefault="0068625A" w:rsidP="0068625A">
      <w:pPr>
        <w:rPr>
          <w:rFonts w:ascii="Century Gothic" w:hAnsi="Century Gothic" w:cs="Calibri"/>
          <w:color w:val="000000"/>
          <w:sz w:val="20"/>
          <w:szCs w:val="20"/>
        </w:rPr>
      </w:pPr>
      <w:r>
        <w:rPr>
          <w:rFonts w:ascii="Century Gothic" w:hAnsi="Century Gothic"/>
          <w:color w:val="000000"/>
          <w:sz w:val="20"/>
          <w:szCs w:val="20"/>
        </w:rPr>
        <w:t>Se llevaron a cabo siete (7) talleres en total, un último taller ha sido programado para ICANN62 en Panamá. El informe final y las recomendaciones seguirán después de ICANN62.</w:t>
      </w:r>
    </w:p>
    <w:p w14:paraId="239422A1" w14:textId="0501481F" w:rsidR="0068625A" w:rsidRDefault="0068625A" w:rsidP="0068625A">
      <w:pPr>
        <w:rPr>
          <w:rFonts w:ascii="Century Gothic" w:hAnsi="Century Gothic" w:cs="Calibri"/>
          <w:color w:val="000000"/>
        </w:rPr>
      </w:pPr>
    </w:p>
    <w:p w14:paraId="5D1324AE" w14:textId="77777777" w:rsidR="0068625A" w:rsidRPr="0068625A" w:rsidRDefault="0068625A" w:rsidP="0068625A"/>
    <w:tbl>
      <w:tblPr>
        <w:tblW w:w="0" w:type="auto"/>
        <w:tblCellMar>
          <w:top w:w="15" w:type="dxa"/>
          <w:left w:w="15" w:type="dxa"/>
          <w:bottom w:w="15" w:type="dxa"/>
          <w:right w:w="15" w:type="dxa"/>
        </w:tblCellMar>
        <w:tblLook w:val="04A0" w:firstRow="1" w:lastRow="0" w:firstColumn="1" w:lastColumn="0" w:noHBand="0" w:noVBand="1"/>
      </w:tblPr>
      <w:tblGrid>
        <w:gridCol w:w="2756"/>
        <w:gridCol w:w="2869"/>
        <w:gridCol w:w="2167"/>
      </w:tblGrid>
      <w:tr w:rsidR="0068625A" w:rsidRPr="0068625A" w14:paraId="4CC16E83" w14:textId="77777777" w:rsidTr="0068625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2FD3B" w14:textId="77777777" w:rsidR="0068625A" w:rsidRPr="0068625A" w:rsidRDefault="0068625A" w:rsidP="0068625A">
            <w:pPr>
              <w:rPr>
                <w:rFonts w:ascii="Century Gothic" w:hAnsi="Century Gothic"/>
              </w:rPr>
            </w:pPr>
            <w:r>
              <w:rPr>
                <w:rFonts w:ascii="Century Gothic" w:hAnsi="Century Gothic"/>
                <w:b/>
                <w:bCs/>
                <w:color w:val="000000"/>
              </w:rPr>
              <w:t>Taller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987FD" w14:textId="6613CA8B" w:rsidR="0068625A" w:rsidRPr="0068625A" w:rsidRDefault="0068625A" w:rsidP="0068625A">
            <w:pPr>
              <w:rPr>
                <w:rFonts w:ascii="Century Gothic" w:hAnsi="Century Gothic"/>
              </w:rPr>
            </w:pPr>
            <w:r>
              <w:rPr>
                <w:rFonts w:ascii="Century Gothic" w:hAnsi="Century Gothic"/>
                <w:b/>
                <w:bCs/>
                <w:color w:val="000000"/>
              </w:rPr>
              <w:t>Cantidad de asistentes</w:t>
            </w:r>
          </w:p>
        </w:tc>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2E0A7" w14:textId="77777777" w:rsidR="0068625A" w:rsidRPr="0068625A" w:rsidRDefault="0068625A" w:rsidP="0068625A">
            <w:pPr>
              <w:rPr>
                <w:rFonts w:ascii="Century Gothic" w:hAnsi="Century Gothic"/>
              </w:rPr>
            </w:pPr>
            <w:r>
              <w:rPr>
                <w:rFonts w:ascii="Century Gothic" w:hAnsi="Century Gothic"/>
                <w:b/>
                <w:bCs/>
                <w:color w:val="000000"/>
              </w:rPr>
              <w:t>Fechas</w:t>
            </w:r>
          </w:p>
        </w:tc>
      </w:tr>
      <w:tr w:rsidR="0068625A" w:rsidRPr="0068625A" w14:paraId="5DE85539" w14:textId="77777777" w:rsidTr="0068625A">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97D91"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África</w:t>
            </w:r>
          </w:p>
          <w:p w14:paraId="6E1305AE"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Nairobi, Kenia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DD487"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98</w:t>
            </w:r>
          </w:p>
        </w:tc>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F23AB"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Enero de 2017</w:t>
            </w:r>
          </w:p>
        </w:tc>
      </w:tr>
      <w:tr w:rsidR="0068625A" w:rsidRPr="0068625A" w14:paraId="767146D5" w14:textId="77777777" w:rsidTr="0068625A">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A6085"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Pacífico</w:t>
            </w:r>
          </w:p>
          <w:p w14:paraId="4FF5AEF9"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Fiyi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66C70"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22</w:t>
            </w:r>
          </w:p>
        </w:tc>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AC054"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Abril de 2017</w:t>
            </w:r>
          </w:p>
        </w:tc>
      </w:tr>
      <w:tr w:rsidR="0068625A" w:rsidRPr="0068625A" w14:paraId="6C8F6697" w14:textId="77777777" w:rsidTr="0068625A">
        <w:trPr>
          <w:trHeight w:val="10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73E01"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África</w:t>
            </w:r>
          </w:p>
          <w:p w14:paraId="7AD2AA77"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Johannesburgo, Sudáfrica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28C0A"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26</w:t>
            </w:r>
          </w:p>
        </w:tc>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362BA"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Junio de 2017</w:t>
            </w:r>
          </w:p>
        </w:tc>
      </w:tr>
      <w:tr w:rsidR="0068625A" w:rsidRPr="0068625A" w14:paraId="668C9168" w14:textId="77777777" w:rsidTr="0068625A">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F93B5"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lastRenderedPageBreak/>
              <w:t>Abu Dabi</w:t>
            </w:r>
          </w:p>
          <w:p w14:paraId="71B27379"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Emiratos Árabes Unidos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4D84C"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19</w:t>
            </w:r>
          </w:p>
        </w:tc>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AD8D0"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Octubre de 2017</w:t>
            </w:r>
          </w:p>
        </w:tc>
      </w:tr>
      <w:tr w:rsidR="0068625A" w:rsidRPr="0068625A" w14:paraId="5F2D7961" w14:textId="77777777" w:rsidTr="0068625A">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3278F"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Asia, Katmandú</w:t>
            </w:r>
          </w:p>
          <w:p w14:paraId="29017E8E"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Nepal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0CCC0"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20</w:t>
            </w:r>
          </w:p>
        </w:tc>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BC04F"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Febrero de 2018</w:t>
            </w:r>
          </w:p>
        </w:tc>
      </w:tr>
      <w:tr w:rsidR="0068625A" w:rsidRPr="0068625A" w14:paraId="2E47BDC4" w14:textId="77777777" w:rsidTr="0068625A">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6608B"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San Juan</w:t>
            </w:r>
          </w:p>
          <w:p w14:paraId="1A029A54"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Puerto Rico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E7364B"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shd w:val="clear" w:color="auto" w:fill="FFFFFF"/>
              </w:rPr>
              <w:t>22</w:t>
            </w:r>
          </w:p>
        </w:tc>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ADAC5"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Marzo de 2018</w:t>
            </w:r>
          </w:p>
        </w:tc>
      </w:tr>
      <w:tr w:rsidR="0068625A" w:rsidRPr="0068625A" w14:paraId="74318244" w14:textId="77777777" w:rsidTr="0068625A">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7C7F8"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Dakar  </w:t>
            </w:r>
          </w:p>
          <w:p w14:paraId="09CF3EAD"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Senegal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4348F"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20</w:t>
            </w:r>
          </w:p>
        </w:tc>
        <w:tc>
          <w:tcPr>
            <w:tcW w:w="21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13741" w14:textId="77777777" w:rsidR="0068625A" w:rsidRPr="00A326CA" w:rsidRDefault="0068625A" w:rsidP="0068625A">
            <w:pPr>
              <w:rPr>
                <w:rFonts w:ascii="Century Gothic" w:hAnsi="Century Gothic"/>
                <w:sz w:val="20"/>
                <w:szCs w:val="20"/>
              </w:rPr>
            </w:pPr>
            <w:r>
              <w:rPr>
                <w:rFonts w:ascii="Century Gothic" w:hAnsi="Century Gothic"/>
                <w:color w:val="000000"/>
                <w:sz w:val="20"/>
                <w:szCs w:val="20"/>
              </w:rPr>
              <w:t>Mayo de 2018</w:t>
            </w:r>
          </w:p>
        </w:tc>
      </w:tr>
    </w:tbl>
    <w:p w14:paraId="2A5F59C0" w14:textId="77777777" w:rsidR="0068625A" w:rsidRPr="0068625A" w:rsidRDefault="0068625A" w:rsidP="0068625A"/>
    <w:p w14:paraId="1D386F0F" w14:textId="190942DB" w:rsidR="0068625A" w:rsidRDefault="0068625A" w:rsidP="0068625A">
      <w:pPr>
        <w:rPr>
          <w:rFonts w:ascii="Century Gothic" w:hAnsi="Century Gothic" w:cs="Calibri"/>
          <w:color w:val="000000"/>
        </w:rPr>
      </w:pPr>
    </w:p>
    <w:p w14:paraId="4A88C886"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color w:val="000000"/>
          <w:sz w:val="20"/>
          <w:szCs w:val="20"/>
        </w:rPr>
        <w:t xml:space="preserve">Con el fin de comprender mejor las necesidades de la comunidad del GAC y para prepararse de manera proactiva, se enviaron encuestas a los participantes del GAC antes y después de los talleres. Los resultados pueden consultarse en el siguiente enlace: </w:t>
      </w:r>
      <w:hyperlink r:id="rId8" w:history="1">
        <w:r>
          <w:rPr>
            <w:rStyle w:val="Hipervnculo"/>
            <w:rFonts w:ascii="Century Gothic" w:hAnsi="Century Gothic"/>
            <w:color w:val="1155CC"/>
            <w:sz w:val="20"/>
            <w:szCs w:val="20"/>
          </w:rPr>
          <w:t>https://gac.icann.org/activity/gac-capacity-development-workshops-2017-2018</w:t>
        </w:r>
      </w:hyperlink>
      <w:r>
        <w:rPr>
          <w:rFonts w:ascii="Century Gothic" w:hAnsi="Century Gothic"/>
          <w:color w:val="000000"/>
          <w:sz w:val="20"/>
          <w:szCs w:val="20"/>
        </w:rPr>
        <w:t>.</w:t>
      </w:r>
    </w:p>
    <w:p w14:paraId="7C818D13" w14:textId="77777777" w:rsidR="0068625A" w:rsidRDefault="0068625A" w:rsidP="0068625A"/>
    <w:p w14:paraId="6D8F5EEF" w14:textId="35535DAA" w:rsidR="0068625A" w:rsidRDefault="0068625A" w:rsidP="0068625A">
      <w:pPr>
        <w:pStyle w:val="Ttulo2"/>
      </w:pPr>
      <w:r>
        <w:t xml:space="preserve">Qué podemos esperar de la reunión ICANN62 </w:t>
      </w:r>
    </w:p>
    <w:p w14:paraId="7ABB266E" w14:textId="77777777" w:rsidR="00A326CA" w:rsidRPr="00F1480A" w:rsidRDefault="00A326CA" w:rsidP="0068625A">
      <w:pPr>
        <w:rPr>
          <w:rFonts w:ascii="Century Gothic" w:hAnsi="Century Gothic"/>
          <w:lang w:val="es-AR"/>
        </w:rPr>
      </w:pPr>
    </w:p>
    <w:p w14:paraId="5CCE8C8D" w14:textId="0FE90D97" w:rsidR="0068625A" w:rsidRPr="00A326CA" w:rsidRDefault="00A326CA" w:rsidP="0068625A">
      <w:pPr>
        <w:rPr>
          <w:rFonts w:ascii="Century Gothic" w:hAnsi="Century Gothic"/>
          <w:sz w:val="20"/>
          <w:szCs w:val="20"/>
        </w:rPr>
      </w:pPr>
      <w:r>
        <w:rPr>
          <w:rFonts w:ascii="Century Gothic" w:hAnsi="Century Gothic"/>
          <w:color w:val="000000"/>
          <w:sz w:val="20"/>
          <w:szCs w:val="20"/>
        </w:rPr>
        <w:t>La sesión sobre el informe previo a la evaluación en ICANN62 será una oportunidad para que los observadores y miembros del GAC reciban un documento informativo conciso de Participación Gubernamental sobre esta Iniciativa de creación de capacidades del GAC de 18 meses de duración. El informe contendrá:</w:t>
      </w:r>
    </w:p>
    <w:p w14:paraId="7AF2E0F3" w14:textId="77777777" w:rsidR="0068625A" w:rsidRPr="00A326CA" w:rsidRDefault="0068625A" w:rsidP="0068625A">
      <w:pPr>
        <w:numPr>
          <w:ilvl w:val="0"/>
          <w:numId w:val="1"/>
        </w:numPr>
        <w:textAlignment w:val="baseline"/>
        <w:rPr>
          <w:rFonts w:ascii="Century Gothic" w:hAnsi="Century Gothic" w:cs="Calibri"/>
          <w:color w:val="000000"/>
          <w:sz w:val="20"/>
          <w:szCs w:val="20"/>
        </w:rPr>
      </w:pPr>
      <w:r>
        <w:rPr>
          <w:rFonts w:ascii="Century Gothic" w:hAnsi="Century Gothic"/>
          <w:color w:val="000000"/>
          <w:sz w:val="20"/>
          <w:szCs w:val="20"/>
        </w:rPr>
        <w:t>Un balance del programa (basado en las respuestas de los representantes del GAC a las encuestas posteriores a los talleres y a la encuesta global final)</w:t>
      </w:r>
    </w:p>
    <w:p w14:paraId="52ACC16A" w14:textId="3522413C" w:rsidR="0068625A" w:rsidRPr="00A326CA" w:rsidRDefault="00DF743A" w:rsidP="0068625A">
      <w:pPr>
        <w:numPr>
          <w:ilvl w:val="0"/>
          <w:numId w:val="1"/>
        </w:numPr>
        <w:textAlignment w:val="baseline"/>
        <w:rPr>
          <w:rFonts w:ascii="Century Gothic" w:hAnsi="Century Gothic" w:cs="Calibri"/>
          <w:color w:val="000000"/>
          <w:sz w:val="20"/>
          <w:szCs w:val="20"/>
        </w:rPr>
      </w:pPr>
      <w:r>
        <w:rPr>
          <w:rFonts w:ascii="Century Gothic" w:hAnsi="Century Gothic"/>
          <w:color w:val="000000"/>
          <w:sz w:val="20"/>
          <w:szCs w:val="20"/>
        </w:rPr>
        <w:t>Una cantidad de recomendaciones para la evolución del Programa de Capacidades del GAC en el futuro cercano</w:t>
      </w:r>
    </w:p>
    <w:p w14:paraId="4884D227" w14:textId="427E6826" w:rsidR="0068625A" w:rsidRDefault="0068625A" w:rsidP="0068625A"/>
    <w:p w14:paraId="35A92304" w14:textId="282DBA22" w:rsidR="0068625A" w:rsidRPr="00EA4C85" w:rsidRDefault="0068625A" w:rsidP="00226F5C">
      <w:pPr>
        <w:pStyle w:val="Ttulo2"/>
      </w:pPr>
      <w:r>
        <w:t>Más información de referencia/detalles:</w:t>
      </w:r>
    </w:p>
    <w:p w14:paraId="23B53E94" w14:textId="77777777" w:rsidR="0068625A" w:rsidRPr="00A326CA" w:rsidRDefault="003E7D39" w:rsidP="00226F5C">
      <w:pPr>
        <w:pStyle w:val="Ttulo4"/>
        <w:keepNext w:val="0"/>
        <w:keepLines w:val="0"/>
        <w:numPr>
          <w:ilvl w:val="0"/>
          <w:numId w:val="10"/>
        </w:numPr>
        <w:spacing w:before="280" w:after="80"/>
        <w:textAlignment w:val="baseline"/>
        <w:rPr>
          <w:rFonts w:ascii="Century Gothic" w:hAnsi="Century Gothic" w:cs="Calibri"/>
          <w:color w:val="666666"/>
          <w:sz w:val="20"/>
          <w:szCs w:val="20"/>
        </w:rPr>
      </w:pPr>
      <w:hyperlink r:id="rId9" w:history="1">
        <w:r w:rsidR="0068625A">
          <w:rPr>
            <w:rStyle w:val="Hipervnculo"/>
            <w:rFonts w:ascii="Century Gothic" w:hAnsi="Century Gothic"/>
            <w:b/>
            <w:bCs/>
            <w:color w:val="1155CC"/>
            <w:sz w:val="20"/>
            <w:szCs w:val="20"/>
          </w:rPr>
          <w:t>Términos de referencia</w:t>
        </w:r>
      </w:hyperlink>
      <w:r w:rsidR="0068625A">
        <w:t xml:space="preserve"> </w:t>
      </w:r>
      <w:r w:rsidR="0068625A">
        <w:rPr>
          <w:rFonts w:ascii="Century Gothic" w:hAnsi="Century Gothic"/>
          <w:b/>
          <w:bCs/>
          <w:color w:val="1155CC"/>
          <w:sz w:val="20"/>
          <w:szCs w:val="20"/>
          <w:u w:val="single"/>
        </w:rPr>
        <w:t>del Grupo de Trabajo del GAC para Regiones Subatendidas</w:t>
      </w:r>
      <w:r w:rsidR="0068625A">
        <w:rPr>
          <w:rFonts w:ascii="Century Gothic" w:hAnsi="Century Gothic"/>
          <w:b/>
          <w:bCs/>
          <w:color w:val="666666"/>
          <w:sz w:val="20"/>
          <w:szCs w:val="20"/>
        </w:rPr>
        <w:t xml:space="preserve"> </w:t>
      </w:r>
    </w:p>
    <w:p w14:paraId="7B2E6930"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color w:val="000000"/>
          <w:sz w:val="20"/>
          <w:szCs w:val="20"/>
        </w:rPr>
        <w:t>Los Términos de referencia del Grupo de Trabajo consisten en “desarrollar una serie de mecanismos de apoyo, asesoramiento y asistencia dirigidos a:</w:t>
      </w:r>
    </w:p>
    <w:p w14:paraId="3E8643D5" w14:textId="77777777" w:rsidR="0068625A" w:rsidRPr="00A326CA" w:rsidRDefault="0068625A" w:rsidP="0068625A">
      <w:pPr>
        <w:pStyle w:val="NormalWeb"/>
        <w:numPr>
          <w:ilvl w:val="0"/>
          <w:numId w:val="3"/>
        </w:numPr>
        <w:spacing w:before="0" w:beforeAutospacing="0" w:after="0" w:afterAutospacing="0"/>
        <w:textAlignment w:val="baseline"/>
        <w:rPr>
          <w:rFonts w:ascii="Century Gothic" w:hAnsi="Century Gothic" w:cs="Calibri"/>
          <w:color w:val="000000"/>
          <w:sz w:val="20"/>
          <w:szCs w:val="20"/>
        </w:rPr>
      </w:pPr>
      <w:r>
        <w:rPr>
          <w:rFonts w:ascii="Century Gothic" w:hAnsi="Century Gothic"/>
          <w:color w:val="000000"/>
          <w:sz w:val="20"/>
          <w:szCs w:val="20"/>
        </w:rPr>
        <w:t>Incrementar el número y la participación de los miembros del GAC procedentes de las economías menos desarrolladas y de pequeños estados insulares en vías de desarrollo.</w:t>
      </w:r>
    </w:p>
    <w:p w14:paraId="3FE523B6" w14:textId="77777777" w:rsidR="0068625A" w:rsidRPr="00A326CA" w:rsidRDefault="0068625A" w:rsidP="0068625A">
      <w:pPr>
        <w:pStyle w:val="NormalWeb"/>
        <w:numPr>
          <w:ilvl w:val="0"/>
          <w:numId w:val="3"/>
        </w:numPr>
        <w:spacing w:before="0" w:beforeAutospacing="0" w:after="0" w:afterAutospacing="0"/>
        <w:textAlignment w:val="baseline"/>
        <w:rPr>
          <w:rFonts w:ascii="Century Gothic" w:hAnsi="Century Gothic" w:cs="Calibri"/>
          <w:color w:val="000000"/>
          <w:sz w:val="20"/>
          <w:szCs w:val="20"/>
        </w:rPr>
      </w:pPr>
      <w:r>
        <w:rPr>
          <w:rFonts w:ascii="Century Gothic" w:hAnsi="Century Gothic"/>
          <w:color w:val="000000"/>
          <w:sz w:val="20"/>
          <w:szCs w:val="20"/>
        </w:rPr>
        <w:t>Aumentar el conocimiento, la comprensión y la capacidad de los representantes del GAC procedentes de las economías menos desarrolladas y de pequeños estados insulares en vías desarrollo para permitirles participar en los procesos de políticas de la ICANN (y específicamente del GAC) con el fin de:</w:t>
      </w:r>
    </w:p>
    <w:p w14:paraId="5497D515" w14:textId="77777777" w:rsidR="0068625A" w:rsidRPr="00A326CA" w:rsidRDefault="0068625A" w:rsidP="0068625A">
      <w:pPr>
        <w:pStyle w:val="NormalWeb"/>
        <w:numPr>
          <w:ilvl w:val="1"/>
          <w:numId w:val="4"/>
        </w:numPr>
        <w:spacing w:before="0" w:beforeAutospacing="0" w:after="0" w:afterAutospacing="0"/>
        <w:textAlignment w:val="baseline"/>
        <w:rPr>
          <w:rFonts w:ascii="Century Gothic" w:hAnsi="Century Gothic" w:cs="Calibri"/>
          <w:color w:val="000000"/>
          <w:sz w:val="20"/>
          <w:szCs w:val="20"/>
        </w:rPr>
      </w:pPr>
      <w:r>
        <w:rPr>
          <w:rFonts w:ascii="Century Gothic" w:hAnsi="Century Gothic"/>
          <w:color w:val="000000"/>
          <w:sz w:val="20"/>
          <w:szCs w:val="20"/>
        </w:rPr>
        <w:t>Aumentar la participación y el compromiso de las regiones subatendidas durante las futuras rondas de nuevos gTLD.</w:t>
      </w:r>
    </w:p>
    <w:p w14:paraId="3FA9DCF9" w14:textId="50C9A27D" w:rsidR="0068625A" w:rsidRPr="00A326CA" w:rsidRDefault="0068625A" w:rsidP="0068625A">
      <w:pPr>
        <w:pStyle w:val="NormalWeb"/>
        <w:numPr>
          <w:ilvl w:val="1"/>
          <w:numId w:val="4"/>
        </w:numPr>
        <w:spacing w:before="0" w:beforeAutospacing="0" w:after="0" w:afterAutospacing="0"/>
        <w:textAlignment w:val="baseline"/>
        <w:rPr>
          <w:rFonts w:ascii="Century Gothic" w:hAnsi="Century Gothic" w:cs="Calibri"/>
          <w:color w:val="000000"/>
          <w:sz w:val="20"/>
          <w:szCs w:val="20"/>
        </w:rPr>
      </w:pPr>
      <w:r>
        <w:rPr>
          <w:rFonts w:ascii="Century Gothic" w:hAnsi="Century Gothic"/>
          <w:color w:val="000000"/>
          <w:sz w:val="20"/>
          <w:szCs w:val="20"/>
        </w:rPr>
        <w:lastRenderedPageBreak/>
        <w:t>Fomentar el crecimiento y desarrollo de la industria de nombres de dominio (incluyendo los registros y registradores) en las regiones que actualmente se encuentran subatendidas.</w:t>
      </w:r>
    </w:p>
    <w:p w14:paraId="728F0150" w14:textId="77777777" w:rsidR="0068625A" w:rsidRPr="00A326CA" w:rsidRDefault="0068625A" w:rsidP="00226F5C">
      <w:pPr>
        <w:pStyle w:val="Ttulo4"/>
        <w:keepNext w:val="0"/>
        <w:keepLines w:val="0"/>
        <w:numPr>
          <w:ilvl w:val="0"/>
          <w:numId w:val="10"/>
        </w:numPr>
        <w:spacing w:before="280" w:after="80"/>
        <w:textAlignment w:val="baseline"/>
        <w:rPr>
          <w:rFonts w:ascii="Century Gothic" w:hAnsi="Century Gothic" w:cs="Calibri"/>
          <w:color w:val="000000"/>
          <w:sz w:val="20"/>
          <w:szCs w:val="20"/>
        </w:rPr>
      </w:pPr>
      <w:r>
        <w:rPr>
          <w:rFonts w:ascii="Century Gothic" w:hAnsi="Century Gothic"/>
          <w:b/>
          <w:bCs/>
          <w:color w:val="000000"/>
          <w:sz w:val="20"/>
          <w:szCs w:val="20"/>
        </w:rPr>
        <w:t>Comunicado del GAC (ICANN56 a 59)</w:t>
      </w:r>
    </w:p>
    <w:p w14:paraId="7332577D" w14:textId="77777777" w:rsidR="0068625A" w:rsidRPr="00A326CA" w:rsidRDefault="0068625A" w:rsidP="0068625A">
      <w:pPr>
        <w:rPr>
          <w:rFonts w:ascii="Century Gothic" w:hAnsi="Century Gothic"/>
          <w:sz w:val="20"/>
          <w:szCs w:val="20"/>
        </w:rPr>
      </w:pPr>
    </w:p>
    <w:p w14:paraId="6D53594F" w14:textId="77777777" w:rsidR="0068625A" w:rsidRPr="00A326CA" w:rsidRDefault="0068625A" w:rsidP="0068625A">
      <w:pPr>
        <w:pStyle w:val="NormalWeb"/>
        <w:numPr>
          <w:ilvl w:val="0"/>
          <w:numId w:val="6"/>
        </w:numPr>
        <w:spacing w:before="0" w:beforeAutospacing="0" w:after="0" w:afterAutospacing="0"/>
        <w:textAlignment w:val="baseline"/>
        <w:rPr>
          <w:rFonts w:ascii="Century Gothic" w:hAnsi="Century Gothic" w:cs="Calibri"/>
          <w:b/>
          <w:bCs/>
          <w:color w:val="000000"/>
          <w:sz w:val="20"/>
          <w:szCs w:val="20"/>
        </w:rPr>
      </w:pPr>
      <w:r>
        <w:rPr>
          <w:rFonts w:ascii="Century Gothic" w:hAnsi="Century Gothic"/>
          <w:b/>
          <w:bCs/>
          <w:color w:val="000000"/>
          <w:sz w:val="20"/>
          <w:szCs w:val="20"/>
        </w:rPr>
        <w:t xml:space="preserve">Comunicado del GAC: </w:t>
      </w:r>
      <w:hyperlink r:id="rId10" w:history="1">
        <w:r>
          <w:rPr>
            <w:rStyle w:val="Hipervnculo"/>
            <w:rFonts w:ascii="Century Gothic" w:hAnsi="Century Gothic"/>
            <w:b/>
            <w:bCs/>
            <w:color w:val="1155CC"/>
            <w:sz w:val="20"/>
            <w:szCs w:val="20"/>
          </w:rPr>
          <w:t>Helsinki, Finlandia- junio de 2016 (ICANN56)</w:t>
        </w:r>
      </w:hyperlink>
    </w:p>
    <w:p w14:paraId="31961221" w14:textId="77777777" w:rsidR="0068625A" w:rsidRPr="00A326CA" w:rsidRDefault="0068625A" w:rsidP="0068625A">
      <w:pPr>
        <w:rPr>
          <w:rFonts w:ascii="Century Gothic" w:hAnsi="Century Gothic"/>
          <w:sz w:val="20"/>
          <w:szCs w:val="20"/>
        </w:rPr>
      </w:pPr>
    </w:p>
    <w:p w14:paraId="38E425BA" w14:textId="5CF116CB"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color w:val="000000"/>
          <w:sz w:val="20"/>
          <w:szCs w:val="20"/>
        </w:rPr>
        <w:t>“El GAC celebró una sesión de creación de capacidades en ICANN56, organizada conjuntamente entre el Grupo de Trabajo del GAC para Regiones Subatendidas y el equipo de GE/GSE de la ICANN. Como resultado de la sesión, los copresidentes del Grupo de Trabajo invitaron al equipo de GE/GSE a buscar una cooperación más estrecha y trabajar juntos a fin de ayudar a los funcionarios gubernamentales miembros del GAC en el desarrollo de capacidades y conocimientos sobre varios temas relacionados con el DNS. En paralelo, el Grupo de Trabajo del GAC identificará las áreas y cuestiones prioritarias que el equipo de GE/GSE podría incluir en su participación relacionada con el desarrollo de capacidades”.</w:t>
      </w:r>
    </w:p>
    <w:p w14:paraId="23883341" w14:textId="77777777" w:rsidR="0068625A" w:rsidRPr="00A326CA" w:rsidRDefault="0068625A" w:rsidP="0068625A">
      <w:pPr>
        <w:rPr>
          <w:rFonts w:ascii="Century Gothic" w:hAnsi="Century Gothic"/>
          <w:sz w:val="20"/>
          <w:szCs w:val="20"/>
        </w:rPr>
      </w:pPr>
    </w:p>
    <w:p w14:paraId="3B23008E" w14:textId="77777777" w:rsidR="0068625A" w:rsidRPr="00A326CA" w:rsidRDefault="0068625A" w:rsidP="00226F5C">
      <w:pPr>
        <w:pStyle w:val="NormalWeb"/>
        <w:numPr>
          <w:ilvl w:val="0"/>
          <w:numId w:val="11"/>
        </w:numPr>
        <w:spacing w:before="0" w:beforeAutospacing="0" w:after="0" w:afterAutospacing="0"/>
        <w:textAlignment w:val="baseline"/>
        <w:rPr>
          <w:rFonts w:ascii="Century Gothic" w:hAnsi="Century Gothic" w:cs="Calibri"/>
          <w:b/>
          <w:bCs/>
          <w:color w:val="000000"/>
          <w:sz w:val="20"/>
          <w:szCs w:val="20"/>
        </w:rPr>
      </w:pPr>
      <w:r>
        <w:rPr>
          <w:rFonts w:ascii="Century Gothic" w:hAnsi="Century Gothic"/>
          <w:b/>
          <w:bCs/>
          <w:color w:val="000000"/>
          <w:sz w:val="20"/>
          <w:szCs w:val="20"/>
        </w:rPr>
        <w:t xml:space="preserve">Comunicado del GAC: </w:t>
      </w:r>
      <w:hyperlink r:id="rId11" w:history="1">
        <w:proofErr w:type="spellStart"/>
        <w:r>
          <w:rPr>
            <w:rStyle w:val="Hipervnculo"/>
            <w:rFonts w:ascii="Century Gothic" w:hAnsi="Century Gothic"/>
            <w:b/>
            <w:bCs/>
            <w:color w:val="1155CC"/>
            <w:sz w:val="20"/>
            <w:szCs w:val="20"/>
          </w:rPr>
          <w:t>Hyderabad</w:t>
        </w:r>
        <w:proofErr w:type="spellEnd"/>
        <w:r>
          <w:rPr>
            <w:rStyle w:val="Hipervnculo"/>
            <w:rFonts w:ascii="Century Gothic" w:hAnsi="Century Gothic"/>
            <w:b/>
            <w:bCs/>
            <w:color w:val="1155CC"/>
            <w:sz w:val="20"/>
            <w:szCs w:val="20"/>
          </w:rPr>
          <w:t>, India - noviembre de 2016 (ICANN57)</w:t>
        </w:r>
      </w:hyperlink>
    </w:p>
    <w:p w14:paraId="48D92D6A"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color w:val="000000"/>
          <w:sz w:val="20"/>
          <w:szCs w:val="20"/>
        </w:rPr>
        <w:t xml:space="preserve"> </w:t>
      </w:r>
    </w:p>
    <w:p w14:paraId="4EB00F94"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color w:val="000000"/>
          <w:sz w:val="20"/>
          <w:szCs w:val="20"/>
        </w:rPr>
        <w:t>“El GAC recomienda a la Junta Directiva de la ICANN que:</w:t>
      </w:r>
    </w:p>
    <w:p w14:paraId="535272F6"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 xml:space="preserve"> I.  Adopte las medidas necesarias para permitir la implementación de las actividades de las Regiones Subatendidas del GAC, incluidas, entre otras, la creación de capacidades y la participación en los procesos de políticas de la ICANN.</w:t>
      </w:r>
    </w:p>
    <w:p w14:paraId="1D112B2D"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 xml:space="preserve"> </w:t>
      </w:r>
    </w:p>
    <w:p w14:paraId="36B20EBA"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b/>
          <w:bCs/>
          <w:i/>
          <w:iCs/>
          <w:color w:val="000000"/>
          <w:sz w:val="20"/>
          <w:szCs w:val="20"/>
        </w:rPr>
        <w:t>FUNDAMENTO</w:t>
      </w:r>
    </w:p>
    <w:p w14:paraId="5AC8F49A" w14:textId="710ED230"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El enfoque de múltiples partes interesadas que es fundamental para la ICANN ha contribuido a esfuerzos colectivos impresionantes hacia el desarrollo de procesos políticos y técnicos complejos. Sin embargo, es imperativo que reconozcamos y tengamos presente que si bien el enfoque tiene por objeto permitir</w:t>
      </w:r>
      <w:r w:rsidR="001569B1">
        <w:rPr>
          <w:rFonts w:ascii="Century Gothic" w:hAnsi="Century Gothic"/>
          <w:i/>
          <w:iCs/>
          <w:color w:val="000000"/>
          <w:sz w:val="20"/>
          <w:szCs w:val="20"/>
        </w:rPr>
        <w:t xml:space="preserve"> </w:t>
      </w:r>
      <w:bookmarkStart w:id="0" w:name="_GoBack"/>
      <w:bookmarkEnd w:id="0"/>
      <w:r>
        <w:rPr>
          <w:rFonts w:ascii="Century Gothic" w:hAnsi="Century Gothic"/>
          <w:i/>
          <w:iCs/>
          <w:color w:val="000000"/>
          <w:sz w:val="20"/>
          <w:szCs w:val="20"/>
        </w:rPr>
        <w:t>la inclusión y la diversidad proporcionando a todas las partes interesadas plena voz e influencia en la toma de decisiones de la ICANN, las regiones en desarrollo aún enfrentan una multitud de desafíos que limitan su participación. El GAC ha desarrollado un plan de trabajo que tiene por objeto abordar algunos de estos desafíos y proporcionar recomendaciones”.</w:t>
      </w:r>
    </w:p>
    <w:p w14:paraId="6A5CA20B"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 xml:space="preserve"> </w:t>
      </w:r>
    </w:p>
    <w:p w14:paraId="7EC161A0" w14:textId="77777777" w:rsidR="0068625A" w:rsidRPr="00A326CA" w:rsidRDefault="0068625A" w:rsidP="00226F5C">
      <w:pPr>
        <w:pStyle w:val="NormalWeb"/>
        <w:numPr>
          <w:ilvl w:val="0"/>
          <w:numId w:val="11"/>
        </w:numPr>
        <w:spacing w:before="0" w:beforeAutospacing="0" w:after="0" w:afterAutospacing="0"/>
        <w:textAlignment w:val="baseline"/>
        <w:rPr>
          <w:rFonts w:ascii="Century Gothic" w:hAnsi="Century Gothic" w:cs="Calibri"/>
          <w:b/>
          <w:bCs/>
          <w:color w:val="000000"/>
          <w:sz w:val="20"/>
          <w:szCs w:val="20"/>
        </w:rPr>
      </w:pPr>
      <w:r>
        <w:rPr>
          <w:rFonts w:ascii="Century Gothic" w:hAnsi="Century Gothic"/>
          <w:b/>
          <w:bCs/>
          <w:color w:val="000000"/>
          <w:sz w:val="20"/>
          <w:szCs w:val="20"/>
        </w:rPr>
        <w:t xml:space="preserve">Comunicado del GAC: </w:t>
      </w:r>
      <w:hyperlink r:id="rId12" w:history="1">
        <w:r>
          <w:rPr>
            <w:rStyle w:val="Hipervnculo"/>
            <w:rFonts w:ascii="Century Gothic" w:hAnsi="Century Gothic"/>
            <w:b/>
            <w:bCs/>
            <w:color w:val="1155CC"/>
            <w:sz w:val="20"/>
            <w:szCs w:val="20"/>
          </w:rPr>
          <w:t>Copenhague, Dinamarca- marzo de 2017 (ICANN58)</w:t>
        </w:r>
      </w:hyperlink>
    </w:p>
    <w:p w14:paraId="5BCB2AF6" w14:textId="77777777" w:rsidR="0068625A" w:rsidRPr="00A326CA" w:rsidRDefault="0068625A" w:rsidP="0068625A">
      <w:pPr>
        <w:rPr>
          <w:rFonts w:ascii="Century Gothic" w:hAnsi="Century Gothic"/>
          <w:sz w:val="20"/>
          <w:szCs w:val="20"/>
        </w:rPr>
      </w:pPr>
    </w:p>
    <w:p w14:paraId="1C3C18AE" w14:textId="0D198E5E" w:rsidR="0068625A" w:rsidRPr="00A326CA" w:rsidRDefault="00226F5C"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“El Grupo de Trabajo del GAC para Regiones Subatendidas llevó a cabo dos sesiones para avanzar con su trabajo y brindó actualizaciones sobre diversas actividades, de acuerdo con lo estipulado en su plan de trabajo. A fin de avanzar con el trabajo en curso, los copresidentes del Grupo de Trabajo se reunieron con las siguientes entidades:</w:t>
      </w:r>
    </w:p>
    <w:p w14:paraId="488B819C"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 xml:space="preserve"> </w:t>
      </w:r>
    </w:p>
    <w:p w14:paraId="09ED16CD" w14:textId="12D31AB6"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La ccNSO y PTI (Identificadores Técnicos Públicos) para debatir y explorar los distintos enfoques hacia las tareas indicadas por el GAC</w:t>
      </w:r>
      <w:r w:rsidR="001569B1">
        <w:rPr>
          <w:rFonts w:ascii="Century Gothic" w:hAnsi="Century Gothic"/>
          <w:i/>
          <w:iCs/>
          <w:color w:val="000000"/>
          <w:sz w:val="20"/>
          <w:szCs w:val="20"/>
        </w:rPr>
        <w:t xml:space="preserve"> </w:t>
      </w:r>
      <w:r>
        <w:rPr>
          <w:rFonts w:ascii="Century Gothic" w:hAnsi="Century Gothic"/>
          <w:i/>
          <w:iCs/>
          <w:color w:val="000000"/>
          <w:sz w:val="20"/>
          <w:szCs w:val="20"/>
        </w:rPr>
        <w:t xml:space="preserve">para que el Grupo de Trabajo se desempeñe como el primer punto de contacto para los miembros del GAC que experimentan problemas de delegación y </w:t>
      </w:r>
      <w:proofErr w:type="spellStart"/>
      <w:r>
        <w:rPr>
          <w:rFonts w:ascii="Century Gothic" w:hAnsi="Century Gothic"/>
          <w:i/>
          <w:iCs/>
          <w:color w:val="000000"/>
          <w:sz w:val="20"/>
          <w:szCs w:val="20"/>
        </w:rPr>
        <w:t>redelegación</w:t>
      </w:r>
      <w:proofErr w:type="spellEnd"/>
      <w:r>
        <w:rPr>
          <w:rFonts w:ascii="Century Gothic" w:hAnsi="Century Gothic"/>
          <w:i/>
          <w:iCs/>
          <w:color w:val="000000"/>
          <w:sz w:val="20"/>
          <w:szCs w:val="20"/>
        </w:rPr>
        <w:t xml:space="preserve"> de ccTLD.</w:t>
      </w:r>
    </w:p>
    <w:p w14:paraId="67906CF2"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•El Departamento de Desarrollo y Responsabilidad Pública (DPRD) de la ICANN para analizar la colaboración en el desarrollo y la implementación de una encuesta del Grupo de Trabajo para los miembros del GAC de las regiones subatendidas.</w:t>
      </w:r>
    </w:p>
    <w:p w14:paraId="2AB05BC7"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 xml:space="preserve">•Los equipos de Participación Gubernamental, Participación Global de Partes Interesadas y Seguridad, Estabilidad y Flexibilidad de la ICANN para planificar la próxima serie de sesiones regionales de desarrollo de capacidades tanto para los miembros del </w:t>
      </w:r>
      <w:r>
        <w:rPr>
          <w:rFonts w:ascii="Century Gothic" w:hAnsi="Century Gothic"/>
          <w:i/>
          <w:iCs/>
          <w:color w:val="000000"/>
          <w:sz w:val="20"/>
          <w:szCs w:val="20"/>
        </w:rPr>
        <w:lastRenderedPageBreak/>
        <w:t>GAC como para las entidades de aplicación de la ley de las regiones subatendidas de Asia Pacífico, Medio Oriente y América Latina y el Caribe antes del final de 2017. El Grupo de Trabajo seguirá participando en las siguientes actividades:</w:t>
      </w:r>
    </w:p>
    <w:p w14:paraId="4ABDAF4B"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 xml:space="preserve"> </w:t>
      </w:r>
    </w:p>
    <w:p w14:paraId="69FAAD74" w14:textId="77777777" w:rsidR="0068625A" w:rsidRPr="00A326CA" w:rsidRDefault="0068625A" w:rsidP="00226F5C">
      <w:pPr>
        <w:pStyle w:val="NormalWeb"/>
        <w:numPr>
          <w:ilvl w:val="0"/>
          <w:numId w:val="12"/>
        </w:numPr>
        <w:spacing w:before="0" w:beforeAutospacing="0" w:after="0" w:afterAutospacing="0"/>
        <w:textAlignment w:val="baseline"/>
        <w:rPr>
          <w:rFonts w:ascii="Century Gothic" w:hAnsi="Century Gothic" w:cs="Calibri"/>
          <w:b/>
          <w:bCs/>
          <w:color w:val="000000"/>
          <w:sz w:val="20"/>
          <w:szCs w:val="20"/>
        </w:rPr>
      </w:pPr>
      <w:r>
        <w:rPr>
          <w:rFonts w:ascii="Century Gothic" w:hAnsi="Century Gothic"/>
          <w:b/>
          <w:bCs/>
          <w:color w:val="000000"/>
          <w:sz w:val="20"/>
          <w:szCs w:val="20"/>
        </w:rPr>
        <w:t xml:space="preserve">Comunicado del GAC: </w:t>
      </w:r>
      <w:hyperlink r:id="rId13" w:history="1">
        <w:r>
          <w:rPr>
            <w:rStyle w:val="Hipervnculo"/>
            <w:rFonts w:ascii="Century Gothic" w:hAnsi="Century Gothic"/>
            <w:b/>
            <w:bCs/>
            <w:color w:val="1155CC"/>
            <w:sz w:val="20"/>
            <w:szCs w:val="20"/>
          </w:rPr>
          <w:t xml:space="preserve">Johannesburgo, Sudáfrica, junio de 2017 (ICANN59) </w:t>
        </w:r>
      </w:hyperlink>
    </w:p>
    <w:p w14:paraId="50DD39D8" w14:textId="77777777" w:rsidR="0068625A" w:rsidRPr="00A326CA" w:rsidRDefault="0068625A" w:rsidP="0068625A">
      <w:pPr>
        <w:rPr>
          <w:rFonts w:ascii="Century Gothic" w:hAnsi="Century Gothic"/>
          <w:sz w:val="20"/>
          <w:szCs w:val="20"/>
        </w:rPr>
      </w:pPr>
    </w:p>
    <w:p w14:paraId="5200F33A"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“El Grupo de Trabajo del GAC para Regiones Subatendidas: El Grupo de Trabajo continúa colaborando con el departamento de Participación Gubernamental (GE) de la ICANN y con otros departamentos para organizar las sesiones de creación de capacidades; los eventos más recientes incluyen: El segundo taller regional realizado en Fiyi los días 28 y 29 de abril de 2017, dirigido a los países insulares del Pacífico.</w:t>
      </w:r>
    </w:p>
    <w:p w14:paraId="097FD728"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•El Taller de creación de capacidades del USRWG y el PSWG para miembros del GAC de África, agencias de orden público y protección al consumidor, realizado los días 23 y 24 de junio de 2017 en Johannesburgo, Sudáfrica</w:t>
      </w:r>
    </w:p>
    <w:p w14:paraId="086DE044"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•Un diálogo de mesa redonda sobre las iniciativas de creación de capacidades del GAC de la ICANN durante el foro de la CMSI (Cumbre Mundial sobre la Sociedad de la Información) realizado en junio de 2017, en Ginebra.</w:t>
      </w:r>
    </w:p>
    <w:p w14:paraId="7A415629"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El Grupo de Trabajo está trabajando con los Equipos de GE y del Departamento de Desarrollo y Responsabilidad Pública (DPRD) para establecer un marco de evaluación para analizar las actividades de creación de capacidades del GAC en forma continua.</w:t>
      </w:r>
    </w:p>
    <w:p w14:paraId="37934B58"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 xml:space="preserve"> </w:t>
      </w:r>
    </w:p>
    <w:p w14:paraId="28BE50E7" w14:textId="0D18DA75"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 xml:space="preserve">El GAC espera contar con el apoyo continuo de la organización de la ICANN para las actividades del grupo de trabajo, a fin de apoyar la participación de las regiones subatendidas en los procesos de políticas del GAC y de la ICANN. El grupo de trabajo ha desarrollado un calendario tentativo de futuras iniciativas de creación de capacidades para los próximos 2 años. El grupo de trabajo continuará colaborando con la ccNSO y con Identificadores Técnicos Públicos (PTI) para completar el documento de Preguntas Frecuentes (FAQ) sobre la delegación y </w:t>
      </w:r>
      <w:proofErr w:type="spellStart"/>
      <w:r>
        <w:rPr>
          <w:rFonts w:ascii="Century Gothic" w:hAnsi="Century Gothic"/>
          <w:i/>
          <w:iCs/>
          <w:color w:val="000000"/>
          <w:sz w:val="20"/>
          <w:szCs w:val="20"/>
        </w:rPr>
        <w:t>redelegación</w:t>
      </w:r>
      <w:proofErr w:type="spellEnd"/>
      <w:r>
        <w:rPr>
          <w:rFonts w:ascii="Century Gothic" w:hAnsi="Century Gothic"/>
          <w:i/>
          <w:iCs/>
          <w:color w:val="000000"/>
          <w:sz w:val="20"/>
          <w:szCs w:val="20"/>
        </w:rPr>
        <w:t xml:space="preserve"> de los ccTLD”.</w:t>
      </w:r>
    </w:p>
    <w:p w14:paraId="283270E8" w14:textId="77777777" w:rsidR="0068625A" w:rsidRPr="00A326CA" w:rsidRDefault="0068625A" w:rsidP="0068625A">
      <w:pPr>
        <w:pStyle w:val="NormalWeb"/>
        <w:spacing w:before="0" w:beforeAutospacing="0" w:after="0" w:afterAutospacing="0"/>
        <w:rPr>
          <w:rFonts w:ascii="Century Gothic" w:hAnsi="Century Gothic"/>
          <w:sz w:val="20"/>
          <w:szCs w:val="20"/>
        </w:rPr>
      </w:pPr>
      <w:r>
        <w:rPr>
          <w:rFonts w:ascii="Century Gothic" w:hAnsi="Century Gothic"/>
          <w:i/>
          <w:iCs/>
          <w:color w:val="000000"/>
          <w:sz w:val="20"/>
          <w:szCs w:val="20"/>
        </w:rPr>
        <w:t xml:space="preserve"> </w:t>
      </w:r>
    </w:p>
    <w:p w14:paraId="32223698" w14:textId="77777777" w:rsidR="0068625A" w:rsidRPr="00A326CA" w:rsidRDefault="0068625A" w:rsidP="0068625A">
      <w:pPr>
        <w:rPr>
          <w:sz w:val="20"/>
          <w:szCs w:val="20"/>
        </w:rPr>
      </w:pPr>
    </w:p>
    <w:p w14:paraId="5894496A" w14:textId="0C7DA934" w:rsidR="00226F5C" w:rsidRPr="00A326CA" w:rsidRDefault="00226F5C" w:rsidP="0068625A">
      <w:pPr>
        <w:pStyle w:val="Textoindependiente"/>
        <w:ind w:right="545"/>
        <w:rPr>
          <w:sz w:val="20"/>
          <w:szCs w:val="20"/>
        </w:rPr>
      </w:pPr>
    </w:p>
    <w:p w14:paraId="19A42508" w14:textId="26D98830" w:rsidR="00226F5C" w:rsidRDefault="00226F5C" w:rsidP="0068625A">
      <w:pPr>
        <w:pStyle w:val="Textoindependiente"/>
        <w:ind w:right="545"/>
      </w:pPr>
    </w:p>
    <w:p w14:paraId="6FC19672" w14:textId="3D5815AD" w:rsidR="00226F5C" w:rsidRDefault="00226F5C" w:rsidP="0068625A">
      <w:pPr>
        <w:pStyle w:val="Textoindependiente"/>
        <w:ind w:right="545"/>
      </w:pPr>
    </w:p>
    <w:p w14:paraId="77446FDA" w14:textId="044BFFF3" w:rsidR="00226F5C" w:rsidRDefault="00226F5C" w:rsidP="0068625A">
      <w:pPr>
        <w:pStyle w:val="Textoindependiente"/>
        <w:ind w:right="545"/>
      </w:pPr>
    </w:p>
    <w:p w14:paraId="72A6D0A3" w14:textId="76C02C40" w:rsidR="00226F5C" w:rsidRDefault="00226F5C" w:rsidP="0068625A">
      <w:pPr>
        <w:pStyle w:val="Textoindependiente"/>
        <w:ind w:right="545"/>
      </w:pPr>
    </w:p>
    <w:p w14:paraId="3F96AD20" w14:textId="41E7ED35" w:rsidR="00226F5C" w:rsidRDefault="00226F5C" w:rsidP="0068625A">
      <w:pPr>
        <w:pStyle w:val="Textoindependiente"/>
        <w:ind w:right="545"/>
      </w:pPr>
    </w:p>
    <w:p w14:paraId="7983D58E" w14:textId="77777777" w:rsidR="00226F5C" w:rsidRPr="00E06DE4" w:rsidRDefault="00226F5C" w:rsidP="0068625A">
      <w:pPr>
        <w:pStyle w:val="Textoindependiente"/>
        <w:ind w:right="545"/>
      </w:pPr>
    </w:p>
    <w:p w14:paraId="49EC663E" w14:textId="77777777" w:rsidR="0068625A" w:rsidRDefault="0068625A" w:rsidP="0068625A">
      <w:pPr>
        <w:pStyle w:val="Ttulo2"/>
      </w:pPr>
      <w:bookmarkStart w:id="1" w:name="_Hlk484433727"/>
      <w:r>
        <w:t>Administración de la documentación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439"/>
      </w:tblGrid>
      <w:tr w:rsidR="0068625A" w:rsidRPr="003F43E3" w14:paraId="6761C6B1" w14:textId="77777777" w:rsidTr="00A326CA">
        <w:tc>
          <w:tcPr>
            <w:tcW w:w="3083" w:type="dxa"/>
            <w:vAlign w:val="center"/>
          </w:tcPr>
          <w:p w14:paraId="0D1B37FC" w14:textId="77777777" w:rsidR="0068625A" w:rsidRPr="003F43E3" w:rsidRDefault="0068625A" w:rsidP="001344B0">
            <w:pPr>
              <w:ind w:right="-132"/>
              <w:rPr>
                <w:rFonts w:ascii="Century Gothic" w:eastAsiaTheme="minorEastAsia" w:hAnsi="Century Gothic" w:cstheme="minorBidi"/>
                <w:b/>
                <w:sz w:val="20"/>
                <w:szCs w:val="20"/>
              </w:rPr>
            </w:pPr>
            <w:r>
              <w:rPr>
                <w:rFonts w:ascii="Century Gothic" w:hAnsi="Century Gothic"/>
                <w:b/>
                <w:sz w:val="20"/>
                <w:szCs w:val="20"/>
              </w:rPr>
              <w:t>Título</w:t>
            </w:r>
          </w:p>
        </w:tc>
        <w:tc>
          <w:tcPr>
            <w:tcW w:w="5439" w:type="dxa"/>
            <w:vAlign w:val="center"/>
          </w:tcPr>
          <w:p w14:paraId="683F81C1" w14:textId="53976596" w:rsidR="0068625A" w:rsidRPr="00EA3A02" w:rsidRDefault="00A326CA" w:rsidP="001344B0">
            <w:pPr>
              <w:ind w:right="545"/>
              <w:rPr>
                <w:rFonts w:ascii="Century Gothic" w:eastAsiaTheme="minorEastAsia" w:hAnsi="Century Gothic" w:cstheme="minorBidi"/>
                <w:sz w:val="20"/>
                <w:szCs w:val="20"/>
              </w:rPr>
            </w:pPr>
            <w:r>
              <w:rPr>
                <w:rFonts w:ascii="Century Gothic" w:hAnsi="Century Gothic"/>
                <w:sz w:val="20"/>
                <w:szCs w:val="20"/>
              </w:rPr>
              <w:t>Informe preliminar del Taller de creación de capacidades del GAC</w:t>
            </w:r>
          </w:p>
        </w:tc>
      </w:tr>
      <w:tr w:rsidR="0068625A" w:rsidRPr="003F43E3" w14:paraId="07303BC1" w14:textId="77777777" w:rsidTr="00A326CA">
        <w:tc>
          <w:tcPr>
            <w:tcW w:w="3083" w:type="dxa"/>
            <w:vAlign w:val="center"/>
          </w:tcPr>
          <w:p w14:paraId="61CBCEE9" w14:textId="77777777" w:rsidR="0068625A" w:rsidRPr="003F43E3" w:rsidRDefault="0068625A" w:rsidP="001344B0">
            <w:pPr>
              <w:ind w:right="-132"/>
              <w:rPr>
                <w:rFonts w:ascii="Century Gothic" w:eastAsiaTheme="minorEastAsia" w:hAnsi="Century Gothic" w:cstheme="minorBidi"/>
                <w:b/>
                <w:sz w:val="20"/>
                <w:szCs w:val="20"/>
              </w:rPr>
            </w:pPr>
            <w:r>
              <w:rPr>
                <w:rFonts w:ascii="Century Gothic" w:hAnsi="Century Gothic"/>
                <w:b/>
                <w:sz w:val="20"/>
                <w:szCs w:val="20"/>
              </w:rPr>
              <w:t>Distribución</w:t>
            </w:r>
          </w:p>
        </w:tc>
        <w:tc>
          <w:tcPr>
            <w:tcW w:w="5439" w:type="dxa"/>
            <w:vAlign w:val="center"/>
          </w:tcPr>
          <w:p w14:paraId="62CDAB44" w14:textId="77777777" w:rsidR="0068625A" w:rsidRPr="003F43E3" w:rsidRDefault="0068625A" w:rsidP="001344B0">
            <w:pPr>
              <w:ind w:right="545"/>
              <w:rPr>
                <w:rFonts w:ascii="Century Gothic" w:eastAsiaTheme="minorEastAsia" w:hAnsi="Century Gothic" w:cstheme="minorBidi"/>
                <w:sz w:val="20"/>
                <w:szCs w:val="20"/>
              </w:rPr>
            </w:pPr>
            <w:r>
              <w:rPr>
                <w:rFonts w:ascii="Century Gothic" w:hAnsi="Century Gothic"/>
                <w:sz w:val="20"/>
                <w:szCs w:val="20"/>
              </w:rPr>
              <w:t>Miembros del GAC</w:t>
            </w:r>
          </w:p>
        </w:tc>
      </w:tr>
      <w:tr w:rsidR="0068625A" w:rsidRPr="003F43E3" w14:paraId="7D93C495" w14:textId="77777777" w:rsidTr="00A326CA">
        <w:tc>
          <w:tcPr>
            <w:tcW w:w="3083" w:type="dxa"/>
            <w:vAlign w:val="center"/>
          </w:tcPr>
          <w:p w14:paraId="60710BBD" w14:textId="77777777" w:rsidR="0068625A" w:rsidRPr="003F43E3" w:rsidRDefault="0068625A" w:rsidP="001344B0">
            <w:pPr>
              <w:ind w:right="-132"/>
              <w:rPr>
                <w:rFonts w:ascii="Century Gothic" w:eastAsiaTheme="minorEastAsia" w:hAnsi="Century Gothic" w:cstheme="minorBidi"/>
                <w:b/>
                <w:sz w:val="20"/>
                <w:szCs w:val="20"/>
              </w:rPr>
            </w:pPr>
            <w:r>
              <w:rPr>
                <w:rFonts w:ascii="Century Gothic" w:hAnsi="Century Gothic"/>
                <w:b/>
                <w:sz w:val="20"/>
                <w:szCs w:val="20"/>
              </w:rPr>
              <w:t>Fecha de distribución</w:t>
            </w:r>
          </w:p>
        </w:tc>
        <w:tc>
          <w:tcPr>
            <w:tcW w:w="5439" w:type="dxa"/>
            <w:vAlign w:val="center"/>
          </w:tcPr>
          <w:p w14:paraId="6BDC4D70" w14:textId="77777777" w:rsidR="0068625A" w:rsidRPr="003F43E3" w:rsidRDefault="0068625A" w:rsidP="001344B0">
            <w:pPr>
              <w:ind w:right="545"/>
              <w:rPr>
                <w:rFonts w:ascii="Century Gothic" w:eastAsiaTheme="minorEastAsia" w:hAnsi="Century Gothic" w:cstheme="minorBidi"/>
                <w:sz w:val="20"/>
                <w:szCs w:val="20"/>
              </w:rPr>
            </w:pPr>
            <w:r>
              <w:rPr>
                <w:rFonts w:ascii="Century Gothic" w:hAnsi="Century Gothic"/>
                <w:sz w:val="20"/>
                <w:szCs w:val="20"/>
              </w:rPr>
              <w:t>6 de junio de 2018</w:t>
            </w:r>
          </w:p>
        </w:tc>
      </w:tr>
      <w:bookmarkEnd w:id="1"/>
    </w:tbl>
    <w:p w14:paraId="1D7AB61E" w14:textId="2DBB8719" w:rsidR="00592857" w:rsidRDefault="00592857"/>
    <w:sectPr w:rsidR="00592857" w:rsidSect="0012301E">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4A05D" w14:textId="77777777" w:rsidR="003E7D39" w:rsidRDefault="003E7D39">
      <w:r>
        <w:separator/>
      </w:r>
    </w:p>
  </w:endnote>
  <w:endnote w:type="continuationSeparator" w:id="0">
    <w:p w14:paraId="3A72BEB2" w14:textId="77777777" w:rsidR="003E7D39" w:rsidRDefault="003E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C346D" w14:textId="77777777" w:rsidR="0012301E" w:rsidRDefault="00226F5C" w:rsidP="0012301E">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84032D" w14:textId="77777777" w:rsidR="0012301E" w:rsidRDefault="003E7D39" w:rsidP="001230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1BD8A" w14:textId="77777777" w:rsidR="0012301E" w:rsidRDefault="00226F5C" w:rsidP="0012301E">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69B1">
      <w:rPr>
        <w:rStyle w:val="Nmerodepgina"/>
        <w:noProof/>
      </w:rPr>
      <w:t>1</w:t>
    </w:r>
    <w:r>
      <w:rPr>
        <w:rStyle w:val="Nmerodepgina"/>
      </w:rPr>
      <w:fldChar w:fldCharType="end"/>
    </w:r>
  </w:p>
  <w:p w14:paraId="099120CA" w14:textId="77777777" w:rsidR="0012301E" w:rsidRDefault="003E7D39" w:rsidP="0012301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6A1E7" w14:textId="77777777" w:rsidR="003E7D39" w:rsidRDefault="003E7D39">
      <w:r>
        <w:separator/>
      </w:r>
    </w:p>
  </w:footnote>
  <w:footnote w:type="continuationSeparator" w:id="0">
    <w:p w14:paraId="3C2B7FDF" w14:textId="77777777" w:rsidR="003E7D39" w:rsidRDefault="003E7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FFA13" w14:textId="77777777" w:rsidR="0012301E" w:rsidRDefault="00226F5C">
    <w:pPr>
      <w:pStyle w:val="Encabezado"/>
    </w:pPr>
    <w:r>
      <w:rPr>
        <w:rFonts w:asciiTheme="majorHAnsi" w:hAnsiTheme="majorHAnsi"/>
        <w:noProof/>
        <w:lang w:val="es-AR" w:eastAsia="es-AR"/>
      </w:rPr>
      <w:drawing>
        <wp:anchor distT="0" distB="0" distL="114300" distR="114300" simplePos="0" relativeHeight="251659264" behindDoc="1" locked="0" layoutInCell="1" allowOverlap="1" wp14:anchorId="351D0CAB" wp14:editId="367BC148">
          <wp:simplePos x="0" y="0"/>
          <wp:positionH relativeFrom="column">
            <wp:posOffset>2051367</wp:posOffset>
          </wp:positionH>
          <wp:positionV relativeFrom="paragraph">
            <wp:posOffset>-893127</wp:posOffset>
          </wp:positionV>
          <wp:extent cx="1363816" cy="2123953"/>
          <wp:effectExtent l="953" t="0" r="9207" b="0"/>
          <wp:wrapNone/>
          <wp:docPr id="2" name="Picture 2" descr="Macintosh HD:Users:julia.charvolen:Desktop:GAC:GAC website:GAC logo :GAC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julia.charvolen:Desktop:GAC:GAC website:GAC logo :GAC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1363816" cy="212395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38DB"/>
    <w:multiLevelType w:val="multilevel"/>
    <w:tmpl w:val="B83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706C4"/>
    <w:multiLevelType w:val="hybridMultilevel"/>
    <w:tmpl w:val="7AC2C484"/>
    <w:lvl w:ilvl="0" w:tplc="BFDE1ACA">
      <w:start w:val="2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971FEE"/>
    <w:multiLevelType w:val="multilevel"/>
    <w:tmpl w:val="2A402028"/>
    <w:lvl w:ilvl="0">
      <w:start w:val="20"/>
      <w:numFmt w:val="bullet"/>
      <w:lvlText w:val="-"/>
      <w:lvlJc w:val="left"/>
      <w:pPr>
        <w:ind w:left="1080" w:hanging="360"/>
      </w:pPr>
      <w:rPr>
        <w:rFonts w:ascii="Calibri" w:eastAsia="Times New Roman"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409B42B1"/>
    <w:multiLevelType w:val="multilevel"/>
    <w:tmpl w:val="657C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94423E"/>
    <w:multiLevelType w:val="multilevel"/>
    <w:tmpl w:val="0CD0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B657EB"/>
    <w:multiLevelType w:val="multilevel"/>
    <w:tmpl w:val="59A4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68714E"/>
    <w:multiLevelType w:val="multilevel"/>
    <w:tmpl w:val="F6944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B764EA"/>
    <w:multiLevelType w:val="multilevel"/>
    <w:tmpl w:val="E814D83A"/>
    <w:lvl w:ilvl="0">
      <w:start w:val="20"/>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F143BB"/>
    <w:multiLevelType w:val="multilevel"/>
    <w:tmpl w:val="1F6E0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151003"/>
    <w:multiLevelType w:val="multilevel"/>
    <w:tmpl w:val="E814D83A"/>
    <w:lvl w:ilvl="0">
      <w:start w:val="20"/>
      <w:numFmt w:val="bullet"/>
      <w:lvlText w:val="-"/>
      <w:lvlJc w:val="left"/>
      <w:pPr>
        <w:ind w:left="1080" w:hanging="360"/>
      </w:pPr>
      <w:rPr>
        <w:rFonts w:ascii="Calibri" w:eastAsia="Times New Roman"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653C7348"/>
    <w:multiLevelType w:val="hybridMultilevel"/>
    <w:tmpl w:val="A794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E3131C"/>
    <w:multiLevelType w:val="multilevel"/>
    <w:tmpl w:val="A260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6"/>
  </w:num>
  <w:num w:numId="4">
    <w:abstractNumId w:val="8"/>
  </w:num>
  <w:num w:numId="5">
    <w:abstractNumId w:val="0"/>
  </w:num>
  <w:num w:numId="6">
    <w:abstractNumId w:val="2"/>
  </w:num>
  <w:num w:numId="7">
    <w:abstractNumId w:val="7"/>
  </w:num>
  <w:num w:numId="8">
    <w:abstractNumId w:val="5"/>
  </w:num>
  <w:num w:numId="9">
    <w:abstractNumId w:val="4"/>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5A"/>
    <w:rsid w:val="00140B33"/>
    <w:rsid w:val="001569B1"/>
    <w:rsid w:val="00210B0C"/>
    <w:rsid w:val="00226F5C"/>
    <w:rsid w:val="002B1079"/>
    <w:rsid w:val="003E7D39"/>
    <w:rsid w:val="005847B2"/>
    <w:rsid w:val="00592857"/>
    <w:rsid w:val="0068625A"/>
    <w:rsid w:val="00A326CA"/>
    <w:rsid w:val="00BE5829"/>
    <w:rsid w:val="00DA16CB"/>
    <w:rsid w:val="00DF743A"/>
    <w:rsid w:val="00F1480A"/>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5A"/>
    <w:rPr>
      <w:rFonts w:ascii="Times New Roman" w:eastAsia="Times New Roman" w:hAnsi="Times New Roman" w:cs="Times New Roman"/>
    </w:rPr>
  </w:style>
  <w:style w:type="paragraph" w:styleId="Ttulo1">
    <w:name w:val="heading 1"/>
    <w:next w:val="Textoindependiente"/>
    <w:link w:val="Ttulo1Car"/>
    <w:uiPriority w:val="9"/>
    <w:qFormat/>
    <w:rsid w:val="0068625A"/>
    <w:pPr>
      <w:keepNext/>
      <w:keepLines/>
      <w:pageBreakBefore/>
      <w:pBdr>
        <w:top w:val="single" w:sz="4" w:space="1" w:color="00408E"/>
        <w:bottom w:val="single" w:sz="4" w:space="1" w:color="00408E"/>
      </w:pBdr>
      <w:spacing w:after="200" w:line="276" w:lineRule="auto"/>
      <w:outlineLvl w:val="0"/>
    </w:pPr>
    <w:rPr>
      <w:rFonts w:ascii="Century Gothic" w:eastAsia="Calibri" w:hAnsi="Century Gothic" w:cs="Times New Roman"/>
      <w:b/>
      <w:color w:val="00408E"/>
      <w:sz w:val="28"/>
      <w:szCs w:val="28"/>
    </w:rPr>
  </w:style>
  <w:style w:type="paragraph" w:styleId="Ttulo2">
    <w:name w:val="heading 2"/>
    <w:basedOn w:val="Textoindependiente"/>
    <w:next w:val="Textoindependiente"/>
    <w:link w:val="Ttulo2Car"/>
    <w:autoRedefine/>
    <w:uiPriority w:val="9"/>
    <w:unhideWhenUsed/>
    <w:qFormat/>
    <w:rsid w:val="0068625A"/>
    <w:pPr>
      <w:keepNext/>
      <w:keepLines/>
      <w:spacing w:after="0" w:line="276" w:lineRule="auto"/>
      <w:ind w:right="547"/>
      <w:outlineLvl w:val="1"/>
    </w:pPr>
    <w:rPr>
      <w:rFonts w:ascii="Century Gothic" w:eastAsia="Calibri" w:hAnsi="Century Gothic"/>
      <w:b/>
      <w:color w:val="2F5496" w:themeColor="accent1" w:themeShade="BF"/>
    </w:rPr>
  </w:style>
  <w:style w:type="paragraph" w:styleId="Ttulo4">
    <w:name w:val="heading 4"/>
    <w:basedOn w:val="Normal"/>
    <w:next w:val="Normal"/>
    <w:link w:val="Ttulo4Car"/>
    <w:uiPriority w:val="9"/>
    <w:semiHidden/>
    <w:unhideWhenUsed/>
    <w:qFormat/>
    <w:rsid w:val="006862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625A"/>
    <w:rPr>
      <w:rFonts w:ascii="Century Gothic" w:eastAsia="Calibri" w:hAnsi="Century Gothic" w:cs="Times New Roman"/>
      <w:b/>
      <w:color w:val="00408E"/>
      <w:sz w:val="28"/>
      <w:szCs w:val="28"/>
      <w:lang w:val="es-MX"/>
    </w:rPr>
  </w:style>
  <w:style w:type="character" w:customStyle="1" w:styleId="Ttulo2Car">
    <w:name w:val="Título 2 Car"/>
    <w:basedOn w:val="Fuentedeprrafopredeter"/>
    <w:link w:val="Ttulo2"/>
    <w:uiPriority w:val="9"/>
    <w:rsid w:val="0068625A"/>
    <w:rPr>
      <w:rFonts w:ascii="Century Gothic" w:eastAsia="Calibri" w:hAnsi="Century Gothic" w:cs="Times New Roman"/>
      <w:b/>
      <w:color w:val="2F5496" w:themeColor="accent1" w:themeShade="BF"/>
      <w:lang w:val="es-MX"/>
    </w:rPr>
  </w:style>
  <w:style w:type="paragraph" w:styleId="Encabezado">
    <w:name w:val="header"/>
    <w:basedOn w:val="Normal"/>
    <w:link w:val="EncabezadoCar"/>
    <w:uiPriority w:val="99"/>
    <w:unhideWhenUsed/>
    <w:rsid w:val="0068625A"/>
    <w:pPr>
      <w:tabs>
        <w:tab w:val="center" w:pos="4320"/>
        <w:tab w:val="right" w:pos="8640"/>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68625A"/>
    <w:rPr>
      <w:rFonts w:eastAsiaTheme="minorEastAsia"/>
    </w:rPr>
  </w:style>
  <w:style w:type="paragraph" w:styleId="Piedepgina">
    <w:name w:val="footer"/>
    <w:basedOn w:val="Normal"/>
    <w:link w:val="PiedepginaCar"/>
    <w:uiPriority w:val="99"/>
    <w:unhideWhenUsed/>
    <w:rsid w:val="0068625A"/>
    <w:pPr>
      <w:tabs>
        <w:tab w:val="center" w:pos="4536"/>
        <w:tab w:val="right" w:pos="9072"/>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68625A"/>
    <w:rPr>
      <w:rFonts w:eastAsiaTheme="minorEastAsia"/>
    </w:rPr>
  </w:style>
  <w:style w:type="character" w:styleId="Nmerodepgina">
    <w:name w:val="page number"/>
    <w:basedOn w:val="Fuentedeprrafopredeter"/>
    <w:uiPriority w:val="99"/>
    <w:semiHidden/>
    <w:unhideWhenUsed/>
    <w:rsid w:val="0068625A"/>
  </w:style>
  <w:style w:type="paragraph" w:styleId="Textoindependiente">
    <w:name w:val="Body Text"/>
    <w:basedOn w:val="Normal"/>
    <w:link w:val="TextoindependienteCar"/>
    <w:uiPriority w:val="99"/>
    <w:unhideWhenUsed/>
    <w:rsid w:val="0068625A"/>
    <w:pPr>
      <w:spacing w:after="120"/>
    </w:pPr>
  </w:style>
  <w:style w:type="character" w:customStyle="1" w:styleId="TextoindependienteCar">
    <w:name w:val="Texto independiente Car"/>
    <w:basedOn w:val="Fuentedeprrafopredeter"/>
    <w:link w:val="Textoindependiente"/>
    <w:uiPriority w:val="99"/>
    <w:rsid w:val="0068625A"/>
    <w:rPr>
      <w:rFonts w:ascii="Times New Roman" w:eastAsia="Times New Roman" w:hAnsi="Times New Roman" w:cs="Times New Roman"/>
    </w:rPr>
  </w:style>
  <w:style w:type="paragraph" w:styleId="Prrafodelista">
    <w:name w:val="List Paragraph"/>
    <w:basedOn w:val="Normal"/>
    <w:uiPriority w:val="34"/>
    <w:qFormat/>
    <w:rsid w:val="0068625A"/>
    <w:pPr>
      <w:ind w:left="720"/>
      <w:contextualSpacing/>
    </w:pPr>
  </w:style>
  <w:style w:type="character" w:styleId="Hipervnculo">
    <w:name w:val="Hyperlink"/>
    <w:basedOn w:val="Fuentedeprrafopredeter"/>
    <w:uiPriority w:val="99"/>
    <w:unhideWhenUsed/>
    <w:rsid w:val="0068625A"/>
    <w:rPr>
      <w:color w:val="0563C1" w:themeColor="hyperlink"/>
      <w:u w:val="single"/>
    </w:rPr>
  </w:style>
  <w:style w:type="paragraph" w:styleId="NormalWeb">
    <w:name w:val="Normal (Web)"/>
    <w:basedOn w:val="Normal"/>
    <w:uiPriority w:val="99"/>
    <w:unhideWhenUsed/>
    <w:rsid w:val="0068625A"/>
    <w:pPr>
      <w:spacing w:before="100" w:beforeAutospacing="1" w:after="100" w:afterAutospacing="1"/>
    </w:pPr>
  </w:style>
  <w:style w:type="character" w:customStyle="1" w:styleId="Ttulo4Car">
    <w:name w:val="Título 4 Car"/>
    <w:basedOn w:val="Fuentedeprrafopredeter"/>
    <w:link w:val="Ttulo4"/>
    <w:uiPriority w:val="9"/>
    <w:semiHidden/>
    <w:rsid w:val="0068625A"/>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5A"/>
    <w:rPr>
      <w:rFonts w:ascii="Times New Roman" w:eastAsia="Times New Roman" w:hAnsi="Times New Roman" w:cs="Times New Roman"/>
    </w:rPr>
  </w:style>
  <w:style w:type="paragraph" w:styleId="Ttulo1">
    <w:name w:val="heading 1"/>
    <w:next w:val="Textoindependiente"/>
    <w:link w:val="Ttulo1Car"/>
    <w:uiPriority w:val="9"/>
    <w:qFormat/>
    <w:rsid w:val="0068625A"/>
    <w:pPr>
      <w:keepNext/>
      <w:keepLines/>
      <w:pageBreakBefore/>
      <w:pBdr>
        <w:top w:val="single" w:sz="4" w:space="1" w:color="00408E"/>
        <w:bottom w:val="single" w:sz="4" w:space="1" w:color="00408E"/>
      </w:pBdr>
      <w:spacing w:after="200" w:line="276" w:lineRule="auto"/>
      <w:outlineLvl w:val="0"/>
    </w:pPr>
    <w:rPr>
      <w:rFonts w:ascii="Century Gothic" w:eastAsia="Calibri" w:hAnsi="Century Gothic" w:cs="Times New Roman"/>
      <w:b/>
      <w:color w:val="00408E"/>
      <w:sz w:val="28"/>
      <w:szCs w:val="28"/>
    </w:rPr>
  </w:style>
  <w:style w:type="paragraph" w:styleId="Ttulo2">
    <w:name w:val="heading 2"/>
    <w:basedOn w:val="Textoindependiente"/>
    <w:next w:val="Textoindependiente"/>
    <w:link w:val="Ttulo2Car"/>
    <w:autoRedefine/>
    <w:uiPriority w:val="9"/>
    <w:unhideWhenUsed/>
    <w:qFormat/>
    <w:rsid w:val="0068625A"/>
    <w:pPr>
      <w:keepNext/>
      <w:keepLines/>
      <w:spacing w:after="0" w:line="276" w:lineRule="auto"/>
      <w:ind w:right="547"/>
      <w:outlineLvl w:val="1"/>
    </w:pPr>
    <w:rPr>
      <w:rFonts w:ascii="Century Gothic" w:eastAsia="Calibri" w:hAnsi="Century Gothic"/>
      <w:b/>
      <w:color w:val="2F5496" w:themeColor="accent1" w:themeShade="BF"/>
    </w:rPr>
  </w:style>
  <w:style w:type="paragraph" w:styleId="Ttulo4">
    <w:name w:val="heading 4"/>
    <w:basedOn w:val="Normal"/>
    <w:next w:val="Normal"/>
    <w:link w:val="Ttulo4Car"/>
    <w:uiPriority w:val="9"/>
    <w:semiHidden/>
    <w:unhideWhenUsed/>
    <w:qFormat/>
    <w:rsid w:val="006862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625A"/>
    <w:rPr>
      <w:rFonts w:ascii="Century Gothic" w:eastAsia="Calibri" w:hAnsi="Century Gothic" w:cs="Times New Roman"/>
      <w:b/>
      <w:color w:val="00408E"/>
      <w:sz w:val="28"/>
      <w:szCs w:val="28"/>
      <w:lang w:val="es-MX"/>
    </w:rPr>
  </w:style>
  <w:style w:type="character" w:customStyle="1" w:styleId="Ttulo2Car">
    <w:name w:val="Título 2 Car"/>
    <w:basedOn w:val="Fuentedeprrafopredeter"/>
    <w:link w:val="Ttulo2"/>
    <w:uiPriority w:val="9"/>
    <w:rsid w:val="0068625A"/>
    <w:rPr>
      <w:rFonts w:ascii="Century Gothic" w:eastAsia="Calibri" w:hAnsi="Century Gothic" w:cs="Times New Roman"/>
      <w:b/>
      <w:color w:val="2F5496" w:themeColor="accent1" w:themeShade="BF"/>
      <w:lang w:val="es-MX"/>
    </w:rPr>
  </w:style>
  <w:style w:type="paragraph" w:styleId="Encabezado">
    <w:name w:val="header"/>
    <w:basedOn w:val="Normal"/>
    <w:link w:val="EncabezadoCar"/>
    <w:uiPriority w:val="99"/>
    <w:unhideWhenUsed/>
    <w:rsid w:val="0068625A"/>
    <w:pPr>
      <w:tabs>
        <w:tab w:val="center" w:pos="4320"/>
        <w:tab w:val="right" w:pos="8640"/>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68625A"/>
    <w:rPr>
      <w:rFonts w:eastAsiaTheme="minorEastAsia"/>
    </w:rPr>
  </w:style>
  <w:style w:type="paragraph" w:styleId="Piedepgina">
    <w:name w:val="footer"/>
    <w:basedOn w:val="Normal"/>
    <w:link w:val="PiedepginaCar"/>
    <w:uiPriority w:val="99"/>
    <w:unhideWhenUsed/>
    <w:rsid w:val="0068625A"/>
    <w:pPr>
      <w:tabs>
        <w:tab w:val="center" w:pos="4536"/>
        <w:tab w:val="right" w:pos="9072"/>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68625A"/>
    <w:rPr>
      <w:rFonts w:eastAsiaTheme="minorEastAsia"/>
    </w:rPr>
  </w:style>
  <w:style w:type="character" w:styleId="Nmerodepgina">
    <w:name w:val="page number"/>
    <w:basedOn w:val="Fuentedeprrafopredeter"/>
    <w:uiPriority w:val="99"/>
    <w:semiHidden/>
    <w:unhideWhenUsed/>
    <w:rsid w:val="0068625A"/>
  </w:style>
  <w:style w:type="paragraph" w:styleId="Textoindependiente">
    <w:name w:val="Body Text"/>
    <w:basedOn w:val="Normal"/>
    <w:link w:val="TextoindependienteCar"/>
    <w:uiPriority w:val="99"/>
    <w:unhideWhenUsed/>
    <w:rsid w:val="0068625A"/>
    <w:pPr>
      <w:spacing w:after="120"/>
    </w:pPr>
  </w:style>
  <w:style w:type="character" w:customStyle="1" w:styleId="TextoindependienteCar">
    <w:name w:val="Texto independiente Car"/>
    <w:basedOn w:val="Fuentedeprrafopredeter"/>
    <w:link w:val="Textoindependiente"/>
    <w:uiPriority w:val="99"/>
    <w:rsid w:val="0068625A"/>
    <w:rPr>
      <w:rFonts w:ascii="Times New Roman" w:eastAsia="Times New Roman" w:hAnsi="Times New Roman" w:cs="Times New Roman"/>
    </w:rPr>
  </w:style>
  <w:style w:type="paragraph" w:styleId="Prrafodelista">
    <w:name w:val="List Paragraph"/>
    <w:basedOn w:val="Normal"/>
    <w:uiPriority w:val="34"/>
    <w:qFormat/>
    <w:rsid w:val="0068625A"/>
    <w:pPr>
      <w:ind w:left="720"/>
      <w:contextualSpacing/>
    </w:pPr>
  </w:style>
  <w:style w:type="character" w:styleId="Hipervnculo">
    <w:name w:val="Hyperlink"/>
    <w:basedOn w:val="Fuentedeprrafopredeter"/>
    <w:uiPriority w:val="99"/>
    <w:unhideWhenUsed/>
    <w:rsid w:val="0068625A"/>
    <w:rPr>
      <w:color w:val="0563C1" w:themeColor="hyperlink"/>
      <w:u w:val="single"/>
    </w:rPr>
  </w:style>
  <w:style w:type="paragraph" w:styleId="NormalWeb">
    <w:name w:val="Normal (Web)"/>
    <w:basedOn w:val="Normal"/>
    <w:uiPriority w:val="99"/>
    <w:unhideWhenUsed/>
    <w:rsid w:val="0068625A"/>
    <w:pPr>
      <w:spacing w:before="100" w:beforeAutospacing="1" w:after="100" w:afterAutospacing="1"/>
    </w:pPr>
  </w:style>
  <w:style w:type="character" w:customStyle="1" w:styleId="Ttulo4Car">
    <w:name w:val="Título 4 Car"/>
    <w:basedOn w:val="Fuentedeprrafopredeter"/>
    <w:link w:val="Ttulo4"/>
    <w:uiPriority w:val="9"/>
    <w:semiHidden/>
    <w:rsid w:val="0068625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3039">
      <w:bodyDiv w:val="1"/>
      <w:marLeft w:val="0"/>
      <w:marRight w:val="0"/>
      <w:marTop w:val="0"/>
      <w:marBottom w:val="0"/>
      <w:divBdr>
        <w:top w:val="none" w:sz="0" w:space="0" w:color="auto"/>
        <w:left w:val="none" w:sz="0" w:space="0" w:color="auto"/>
        <w:bottom w:val="none" w:sz="0" w:space="0" w:color="auto"/>
        <w:right w:val="none" w:sz="0" w:space="0" w:color="auto"/>
      </w:divBdr>
      <w:divsChild>
        <w:div w:id="1218736807">
          <w:marLeft w:val="0"/>
          <w:marRight w:val="0"/>
          <w:marTop w:val="0"/>
          <w:marBottom w:val="0"/>
          <w:divBdr>
            <w:top w:val="none" w:sz="0" w:space="0" w:color="auto"/>
            <w:left w:val="none" w:sz="0" w:space="0" w:color="auto"/>
            <w:bottom w:val="none" w:sz="0" w:space="0" w:color="auto"/>
            <w:right w:val="none" w:sz="0" w:space="0" w:color="auto"/>
          </w:divBdr>
        </w:div>
      </w:divsChild>
    </w:div>
    <w:div w:id="727653261">
      <w:bodyDiv w:val="1"/>
      <w:marLeft w:val="0"/>
      <w:marRight w:val="0"/>
      <w:marTop w:val="0"/>
      <w:marBottom w:val="0"/>
      <w:divBdr>
        <w:top w:val="none" w:sz="0" w:space="0" w:color="auto"/>
        <w:left w:val="none" w:sz="0" w:space="0" w:color="auto"/>
        <w:bottom w:val="none" w:sz="0" w:space="0" w:color="auto"/>
        <w:right w:val="none" w:sz="0" w:space="0" w:color="auto"/>
      </w:divBdr>
    </w:div>
    <w:div w:id="937634882">
      <w:bodyDiv w:val="1"/>
      <w:marLeft w:val="0"/>
      <w:marRight w:val="0"/>
      <w:marTop w:val="0"/>
      <w:marBottom w:val="0"/>
      <w:divBdr>
        <w:top w:val="none" w:sz="0" w:space="0" w:color="auto"/>
        <w:left w:val="none" w:sz="0" w:space="0" w:color="auto"/>
        <w:bottom w:val="none" w:sz="0" w:space="0" w:color="auto"/>
        <w:right w:val="none" w:sz="0" w:space="0" w:color="auto"/>
      </w:divBdr>
    </w:div>
    <w:div w:id="1043097472">
      <w:bodyDiv w:val="1"/>
      <w:marLeft w:val="0"/>
      <w:marRight w:val="0"/>
      <w:marTop w:val="0"/>
      <w:marBottom w:val="0"/>
      <w:divBdr>
        <w:top w:val="none" w:sz="0" w:space="0" w:color="auto"/>
        <w:left w:val="none" w:sz="0" w:space="0" w:color="auto"/>
        <w:bottom w:val="none" w:sz="0" w:space="0" w:color="auto"/>
        <w:right w:val="none" w:sz="0" w:space="0" w:color="auto"/>
      </w:divBdr>
    </w:div>
    <w:div w:id="2024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c.icann.org/activity/gac-capacity-development-workshops-2017-2018" TargetMode="External"/><Relationship Id="rId13" Type="http://schemas.openxmlformats.org/officeDocument/2006/relationships/hyperlink" Target="https://gac.icann.org/contentMigrated/icann59-gac-communiqu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ac.icann.org/contentMigrated/icann58-gac-communiq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ac.icann.org/contentMigrated/icann57-gac-communiqu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ac.icann.org/contentMigrated/icann56-gac-communique" TargetMode="External"/><Relationship Id="rId4" Type="http://schemas.openxmlformats.org/officeDocument/2006/relationships/settings" Target="settings.xml"/><Relationship Id="rId9" Type="http://schemas.openxmlformats.org/officeDocument/2006/relationships/hyperlink" Target="https://gac.icann.org/working-group/gac-working-groups-on-under-served-reg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Charvolen</dc:creator>
  <cp:keywords/>
  <dc:description/>
  <cp:lastModifiedBy>Usuario</cp:lastModifiedBy>
  <cp:revision>6</cp:revision>
  <dcterms:created xsi:type="dcterms:W3CDTF">2018-06-07T09:24:00Z</dcterms:created>
  <dcterms:modified xsi:type="dcterms:W3CDTF">2018-06-14T16:59:00Z</dcterms:modified>
</cp:coreProperties>
</file>